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7"/>
        <w:gridCol w:w="7013"/>
      </w:tblGrid>
      <w:tr>
        <w:trPr>
          <w:trHeight w:val="549" w:hRule="atLeast"/>
        </w:trPr>
        <w:tc>
          <w:tcPr>
            <w:tcW w:w="2337" w:type="dxa"/>
            <w:shd w:val="clear" w:color="auto" w:fill="BCBEC0"/>
          </w:tcPr>
          <w:p>
            <w:pPr>
              <w:pStyle w:val="TableParagraph"/>
              <w:spacing w:before="112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3.5</w:t>
            </w:r>
          </w:p>
        </w:tc>
        <w:tc>
          <w:tcPr>
            <w:tcW w:w="7013" w:type="dxa"/>
            <w:shd w:val="clear" w:color="auto" w:fill="E6E7E8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Appointment Application Instructions</w:t>
            </w:r>
          </w:p>
        </w:tc>
      </w:tr>
      <w:tr>
        <w:trPr>
          <w:trHeight w:val="10122" w:hRule="atLeast"/>
        </w:trPr>
        <w:tc>
          <w:tcPr>
            <w:tcW w:w="9350" w:type="dxa"/>
            <w:gridSpan w:val="2"/>
          </w:tcPr>
          <w:p>
            <w:pPr>
              <w:pStyle w:val="TableParagraph"/>
              <w:tabs>
                <w:tab w:pos="2239" w:val="left" w:leader="none"/>
              </w:tabs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Return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to:</w:t>
              <w:tab/>
              <w:t>[Hospital]</w:t>
            </w:r>
          </w:p>
          <w:p>
            <w:pPr>
              <w:pStyle w:val="TableParagraph"/>
              <w:spacing w:line="333" w:lineRule="auto" w:before="90"/>
              <w:ind w:left="2240" w:right="346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Medical Staff Services Department </w:t>
            </w:r>
            <w:r>
              <w:rPr>
                <w:color w:val="231F20"/>
                <w:sz w:val="20"/>
              </w:rPr>
              <w:t>Address</w:t>
            </w:r>
          </w:p>
          <w:p>
            <w:pPr>
              <w:pStyle w:val="TableParagraph"/>
              <w:spacing w:before="1"/>
              <w:ind w:left="2240"/>
              <w:rPr>
                <w:sz w:val="20"/>
              </w:rPr>
            </w:pPr>
            <w:r>
              <w:rPr>
                <w:color w:val="231F20"/>
                <w:sz w:val="20"/>
              </w:rPr>
              <w:t>City, state, ZIP</w:t>
            </w:r>
          </w:p>
          <w:p>
            <w:pPr>
              <w:pStyle w:val="TableParagraph"/>
              <w:tabs>
                <w:tab w:pos="4314" w:val="left" w:leader="none"/>
              </w:tabs>
              <w:spacing w:before="90"/>
              <w:ind w:left="2240"/>
              <w:rPr>
                <w:sz w:val="20"/>
              </w:rPr>
            </w:pPr>
            <w:r>
              <w:rPr>
                <w:color w:val="231F20"/>
                <w:sz w:val="20"/>
              </w:rPr>
              <w:t>Email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>
            <w:pPr>
              <w:pStyle w:val="TableParagraph"/>
              <w:tabs>
                <w:tab w:pos="5117" w:val="left" w:leader="none"/>
                <w:tab w:pos="5372" w:val="left" w:leader="none"/>
                <w:tab w:pos="7119" w:val="left" w:leader="none"/>
              </w:tabs>
              <w:spacing w:line="333" w:lineRule="auto" w:before="90"/>
              <w:ind w:left="2240" w:right="2219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Telephone</w:t>
            </w:r>
            <w:r>
              <w:rPr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number(s):</w:t>
            </w:r>
            <w:r>
              <w:rPr>
                <w:color w:val="231F20"/>
                <w:w w:val="95"/>
                <w:sz w:val="20"/>
                <w:u w:val="single" w:color="221E1F"/>
              </w:rPr>
              <w:t> </w:t>
              <w:tab/>
              <w:tab/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Fax</w:t>
            </w:r>
            <w:r>
              <w:rPr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100"/>
                <w:sz w:val="20"/>
                <w:u w:val="single" w:color="221E1F"/>
              </w:rPr>
              <w:t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>
            <w:pPr>
              <w:pStyle w:val="TableParagraph"/>
              <w:spacing w:before="10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General instructions</w:t>
            </w:r>
          </w:p>
          <w:p>
            <w:pPr>
              <w:pStyle w:val="TableParagraph"/>
              <w:spacing w:line="333" w:lineRule="auto" w:before="82"/>
              <w:ind w:right="364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necessary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process.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infor- </w:t>
            </w:r>
            <w:r>
              <w:rPr>
                <w:color w:val="231F20"/>
                <w:sz w:val="20"/>
              </w:rPr>
              <w:t>mation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standards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[CMS/Hospital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accreditor]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and </w:t>
            </w:r>
            <w:r>
              <w:rPr>
                <w:color w:val="231F20"/>
                <w:spacing w:val="-4"/>
                <w:sz w:val="20"/>
              </w:rPr>
              <w:t>[Hospital]’s </w:t>
            </w:r>
            <w:r>
              <w:rPr>
                <w:color w:val="231F20"/>
                <w:sz w:val="20"/>
              </w:rPr>
              <w:t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bylaws.</w:t>
            </w:r>
          </w:p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333" w:lineRule="auto"/>
              <w:ind w:right="50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documentation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result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delays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verification </w:t>
            </w:r>
            <w:r>
              <w:rPr>
                <w:color w:val="231F20"/>
                <w:sz w:val="20"/>
              </w:rPr>
              <w:t>and/or </w:t>
            </w:r>
            <w:r>
              <w:rPr>
                <w:color w:val="231F20"/>
                <w:spacing w:val="-3"/>
                <w:sz w:val="20"/>
              </w:rPr>
              <w:t>approval </w:t>
            </w:r>
            <w:r>
              <w:rPr>
                <w:color w:val="231F20"/>
                <w:sz w:val="20"/>
              </w:rPr>
              <w:t>of your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file.</w:t>
            </w:r>
          </w:p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Prior to completing this application, please read and observe the following:</w:t>
            </w:r>
          </w:p>
          <w:p>
            <w:pPr>
              <w:pStyle w:val="TableParagraph"/>
              <w:spacing w:before="180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Print legibly or type your responses.</w:t>
            </w:r>
          </w:p>
          <w:p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Modification to the wording or format of this form or the privilege forms will invalidate both.</w:t>
            </w:r>
          </w:p>
          <w:p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All questions must be answered fully and truthfully. If more space is needed, attach additional sheets.</w:t>
            </w:r>
          </w:p>
          <w:p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Make reference to the question being answered.</w:t>
            </w:r>
          </w:p>
          <w:p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“See CV or résumé” is not an acceptable answer.</w:t>
            </w:r>
          </w:p>
          <w:p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If a particular section does not apply to you, write “N/A” in that section.</w:t>
            </w:r>
          </w:p>
          <w:p>
            <w:pPr>
              <w:pStyle w:val="TableParagraph"/>
              <w:spacing w:line="268" w:lineRule="auto" w:before="36"/>
              <w:ind w:left="440" w:right="350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z w:val="20"/>
              </w:rPr>
              <w:t>Mail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hand-deliver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completed,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signed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department, along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documentation,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forms,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processing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fees.</w:t>
            </w:r>
          </w:p>
          <w:p>
            <w:pPr>
              <w:pStyle w:val="TableParagraph"/>
              <w:spacing w:before="6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Make a copy of the application to retain in your files and/or computer for future use and reference.</w:t>
            </w:r>
          </w:p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33" w:lineRule="auto" w:before="169"/>
              <w:ind w:right="52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promptly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changes </w:t>
            </w:r>
            <w:r>
              <w:rPr>
                <w:color w:val="231F20"/>
                <w:sz w:val="20"/>
              </w:rPr>
              <w:t>once it has been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submitted.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dobe Devanagari">
    <w:altName w:val="Adobe Devanagari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2019-03-13T12:22:44Z</dcterms:created>
  <dcterms:modified xsi:type="dcterms:W3CDTF">2019-03-13T12:22:44Z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